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326621C5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AD5963">
        <w:rPr>
          <w:rFonts w:ascii="Arial" w:hAnsi="Arial" w:cs="Arial"/>
          <w:bCs/>
          <w:sz w:val="24"/>
          <w:szCs w:val="24"/>
        </w:rPr>
        <w:t>1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AD5963">
        <w:rPr>
          <w:rFonts w:ascii="Arial" w:hAnsi="Arial" w:cs="Arial"/>
          <w:bCs/>
          <w:sz w:val="24"/>
          <w:szCs w:val="24"/>
        </w:rPr>
        <w:t>02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57C6A">
        <w:rPr>
          <w:rFonts w:ascii="Arial" w:hAnsi="Arial" w:cs="Arial"/>
          <w:bCs/>
          <w:sz w:val="24"/>
          <w:szCs w:val="24"/>
        </w:rPr>
        <w:t>ju</w:t>
      </w:r>
      <w:r w:rsidR="00AD5963">
        <w:rPr>
          <w:rFonts w:ascii="Arial" w:hAnsi="Arial" w:cs="Arial"/>
          <w:bCs/>
          <w:sz w:val="24"/>
          <w:szCs w:val="24"/>
        </w:rPr>
        <w:t>lho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4ED7149D" w:rsidR="005D412E" w:rsidRPr="00061D6E" w:rsidRDefault="00970E33" w:rsidP="00F665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993056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3056">
        <w:rPr>
          <w:rFonts w:ascii="Arial" w:hAnsi="Arial" w:cs="Arial"/>
          <w:color w:val="000000" w:themeColor="text1"/>
          <w:sz w:val="24"/>
          <w:szCs w:val="24"/>
        </w:rPr>
        <w:t>02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57C6A">
        <w:rPr>
          <w:rFonts w:ascii="Arial" w:hAnsi="Arial" w:cs="Arial"/>
          <w:color w:val="000000" w:themeColor="text1"/>
          <w:sz w:val="24"/>
          <w:szCs w:val="24"/>
        </w:rPr>
        <w:t>ju</w:t>
      </w:r>
      <w:r w:rsidR="00993056">
        <w:rPr>
          <w:rFonts w:ascii="Arial" w:hAnsi="Arial" w:cs="Arial"/>
          <w:color w:val="000000" w:themeColor="text1"/>
          <w:sz w:val="24"/>
          <w:szCs w:val="24"/>
        </w:rPr>
        <w:t>lho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993056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 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E48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6B3E48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6B3E48" w:rsidRPr="00C52A44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6B3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5B1370">
        <w:rPr>
          <w:rFonts w:ascii="Arial" w:hAnsi="Arial" w:cs="Arial"/>
          <w:sz w:val="24"/>
          <w:szCs w:val="24"/>
        </w:rPr>
        <w:t>a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A83C6D" w:rsidRPr="00516A53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993056">
        <w:rPr>
          <w:rFonts w:ascii="Arial" w:hAnsi="Arial" w:cs="Arial"/>
          <w:sz w:val="24"/>
          <w:szCs w:val="24"/>
        </w:rPr>
        <w:t>25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66551B">
        <w:rPr>
          <w:rFonts w:ascii="Arial" w:hAnsi="Arial" w:cs="Arial"/>
          <w:sz w:val="24"/>
          <w:szCs w:val="24"/>
        </w:rPr>
        <w:t>junho</w:t>
      </w:r>
      <w:r w:rsidR="00EF7551" w:rsidRPr="00516A53">
        <w:rPr>
          <w:rFonts w:ascii="Arial" w:hAnsi="Arial" w:cs="Arial"/>
          <w:sz w:val="24"/>
          <w:szCs w:val="24"/>
        </w:rPr>
        <w:t xml:space="preserve"> de 202</w:t>
      </w:r>
      <w:r w:rsidR="00D75059" w:rsidRPr="00516A53">
        <w:rPr>
          <w:rFonts w:ascii="Arial" w:hAnsi="Arial" w:cs="Arial"/>
          <w:sz w:val="24"/>
          <w:szCs w:val="24"/>
        </w:rPr>
        <w:t>4</w:t>
      </w:r>
      <w:r w:rsidR="00993056">
        <w:rPr>
          <w:rFonts w:ascii="Arial" w:hAnsi="Arial" w:cs="Arial"/>
          <w:sz w:val="24"/>
          <w:szCs w:val="24"/>
        </w:rPr>
        <w:t xml:space="preserve"> e em tempo solicitado para constar em Ata o falecimento do Sr. Benedito Batista, sogro do Charles, após a Ata foi aprovada por todos</w:t>
      </w:r>
      <w:r w:rsidR="0066551B">
        <w:rPr>
          <w:rFonts w:ascii="Arial" w:hAnsi="Arial" w:cs="Arial"/>
          <w:sz w:val="24"/>
          <w:szCs w:val="24"/>
        </w:rPr>
        <w:t>.</w:t>
      </w:r>
      <w:r w:rsidR="005B2259">
        <w:rPr>
          <w:rFonts w:ascii="Arial" w:hAnsi="Arial" w:cs="Arial"/>
          <w:sz w:val="24"/>
          <w:szCs w:val="24"/>
        </w:rPr>
        <w:t xml:space="preserve"> Antecedendo a reunião</w:t>
      </w:r>
      <w:r w:rsidR="009C67A3">
        <w:rPr>
          <w:rFonts w:ascii="Arial" w:hAnsi="Arial" w:cs="Arial"/>
          <w:sz w:val="24"/>
          <w:szCs w:val="24"/>
        </w:rPr>
        <w:t xml:space="preserve"> extraordinária</w:t>
      </w:r>
      <w:r w:rsidR="005B2259">
        <w:rPr>
          <w:rFonts w:ascii="Arial" w:hAnsi="Arial" w:cs="Arial"/>
          <w:sz w:val="24"/>
          <w:szCs w:val="24"/>
        </w:rPr>
        <w:t>, houve a apresentação do Executivo</w:t>
      </w:r>
      <w:r w:rsidR="00061D6E">
        <w:rPr>
          <w:rFonts w:ascii="Arial" w:hAnsi="Arial" w:cs="Arial"/>
          <w:sz w:val="24"/>
          <w:szCs w:val="24"/>
        </w:rPr>
        <w:t xml:space="preserve"> pelo Contador Raphael Hallack,</w:t>
      </w:r>
      <w:r w:rsidR="005B2259">
        <w:rPr>
          <w:rFonts w:ascii="Arial" w:hAnsi="Arial" w:cs="Arial"/>
          <w:sz w:val="24"/>
          <w:szCs w:val="24"/>
        </w:rPr>
        <w:t xml:space="preserve"> referente ao relatório do 1° quadrimestre de 2024 e apresentação do projeto de Lei das Diretrizes orçamentárias para o ano de 2025.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>o presidente colocou o projeto 05/2024 em discussão</w:t>
      </w:r>
      <w:r w:rsidR="0008318E">
        <w:rPr>
          <w:rFonts w:ascii="Arial" w:hAnsi="Arial" w:cs="Arial"/>
          <w:color w:val="000000" w:themeColor="text1"/>
          <w:sz w:val="24"/>
          <w:szCs w:val="24"/>
        </w:rPr>
        <w:t>, este que havia dado entrad</w:t>
      </w:r>
      <w:r w:rsidR="00C269A4">
        <w:rPr>
          <w:rFonts w:ascii="Arial" w:hAnsi="Arial" w:cs="Arial"/>
          <w:color w:val="000000" w:themeColor="text1"/>
          <w:sz w:val="24"/>
          <w:szCs w:val="24"/>
        </w:rPr>
        <w:t>a</w:t>
      </w:r>
      <w:r w:rsidR="0008318E">
        <w:rPr>
          <w:rFonts w:ascii="Arial" w:hAnsi="Arial" w:cs="Arial"/>
          <w:color w:val="000000" w:themeColor="text1"/>
          <w:sz w:val="24"/>
          <w:szCs w:val="24"/>
        </w:rPr>
        <w:t xml:space="preserve"> nesta </w:t>
      </w:r>
      <w:r w:rsidR="00061D6E">
        <w:rPr>
          <w:rFonts w:ascii="Arial" w:hAnsi="Arial" w:cs="Arial"/>
          <w:color w:val="000000" w:themeColor="text1"/>
          <w:sz w:val="24"/>
          <w:szCs w:val="24"/>
        </w:rPr>
        <w:t xml:space="preserve">Casa </w:t>
      </w:r>
      <w:r w:rsidR="0008318E">
        <w:rPr>
          <w:rFonts w:ascii="Arial" w:hAnsi="Arial" w:cs="Arial"/>
          <w:color w:val="000000" w:themeColor="text1"/>
          <w:sz w:val="24"/>
          <w:szCs w:val="24"/>
        </w:rPr>
        <w:t>e encaminhado para as comissões no dia 11 de junho de 2024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 xml:space="preserve"> e a vereadora Lucilene propôs as seguintes emendas: Emenda supressiva de n° 01/2024 que suprime os artigos “</w:t>
      </w:r>
      <w:r w:rsidR="007E7AAB" w:rsidRPr="007E7AAB">
        <w:rPr>
          <w:rFonts w:ascii="Arial" w:hAnsi="Arial" w:cs="Arial"/>
          <w:color w:val="000000" w:themeColor="text1"/>
          <w:sz w:val="24"/>
          <w:szCs w:val="24"/>
        </w:rPr>
        <w:t>“IV- abrir créditos suplementares até o valor correspondente ao superávit financeiro apurado no balanço patrimonial do exercício de 2024, observado o disposto no inciso I do § 1º e no §2º do art.43 da Lei nº 4.320, de 1964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 xml:space="preserve"> e artigo </w:t>
      </w:r>
      <w:r w:rsidR="007E7AAB" w:rsidRPr="007E7AAB">
        <w:rPr>
          <w:rFonts w:ascii="Arial" w:hAnsi="Arial" w:cs="Arial"/>
          <w:color w:val="000000" w:themeColor="text1"/>
          <w:sz w:val="24"/>
          <w:szCs w:val="24"/>
        </w:rPr>
        <w:t xml:space="preserve">V- abrir créditos suplementares até o valor correspondente ao excesso de arrecadação apurado, observado o disposto no inciso II do § 1º e no §3º do art. 43 da Lei nº 4.320, de 1964.” 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7E7AAB" w:rsidRPr="007E7AAB">
        <w:rPr>
          <w:rFonts w:ascii="Arial" w:hAnsi="Arial" w:cs="Arial"/>
          <w:color w:val="000000" w:themeColor="text1"/>
          <w:sz w:val="24"/>
          <w:szCs w:val="24"/>
        </w:rPr>
        <w:t xml:space="preserve">Emenda modificativa 02/2024 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>onde o artigo 22</w:t>
      </w:r>
      <w:r w:rsidR="007E7AAB" w:rsidRPr="007E7AAB">
        <w:rPr>
          <w:rFonts w:ascii="Arial" w:hAnsi="Arial" w:cs="Arial"/>
          <w:color w:val="000000" w:themeColor="text1"/>
          <w:sz w:val="24"/>
          <w:szCs w:val="24"/>
        </w:rPr>
        <w:t xml:space="preserve"> passa a vigorar com o seguinte texto “Art.22 - Não obstante o disposto no art. 22 da Lei Complementar nº 101, de 04 de maio de 2000, o Município ainda assim poderá contratar horas-extras para manter os serviços essenciais de saúde e educação.”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 xml:space="preserve">; Emenda modificativa 03/2024 onde o artigo 32 passa a vigorar com o seguinte </w:t>
      </w:r>
      <w:r w:rsidR="007E7AAB" w:rsidRPr="007E7AAB">
        <w:rPr>
          <w:rFonts w:ascii="Arial" w:hAnsi="Arial" w:cs="Arial"/>
          <w:color w:val="000000" w:themeColor="text1"/>
          <w:sz w:val="24"/>
          <w:szCs w:val="24"/>
        </w:rPr>
        <w:t>texto “Art.32 - A Lei Orçamentária de 2025 poderá autorizar a realização de operação de crédito por antecipação de receitas, assumidas a partir do dia 10 de janeiro, com quitação integral até o dia 10 de dezembro de 2025.”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 xml:space="preserve">; Emenda modificativa 04/2024 onde o artigo 34 passa a vigorar com o seguinte </w:t>
      </w:r>
      <w:r w:rsidR="007E7AAB" w:rsidRPr="007E7AAB">
        <w:rPr>
          <w:rFonts w:ascii="Arial" w:hAnsi="Arial" w:cs="Arial"/>
          <w:color w:val="000000" w:themeColor="text1"/>
          <w:sz w:val="24"/>
          <w:szCs w:val="24"/>
        </w:rPr>
        <w:t>texto “Art.34 O Poder Executivo realizará estudos visando a definição de sistema de controle de custos e avaliação de resultados das ações do governo. Parágrafo único. A alocação de recursos na Lei Orçamentária Anual será feita diretamente à Unidade Orçamentária responsável pela sua execução, de modo a evidenciar o custo das ações e propiciar a correta avaliação dos resultados.”</w:t>
      </w:r>
      <w:r w:rsidR="007E7AAB">
        <w:rPr>
          <w:rFonts w:ascii="Arial" w:hAnsi="Arial" w:cs="Arial"/>
          <w:color w:val="000000" w:themeColor="text1"/>
          <w:sz w:val="24"/>
          <w:szCs w:val="24"/>
        </w:rPr>
        <w:t xml:space="preserve"> Após, foi discutido entre os vereadores e o projeto foi colocado em votação com as respectivas emendas, sendo aprovado pelas comissões e em unanimidade pelos vereadores, tornando a Lei 758/2024.</w:t>
      </w:r>
      <w:r w:rsidR="00061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12</cp:revision>
  <cp:lastPrinted>2024-05-28T17:53:00Z</cp:lastPrinted>
  <dcterms:created xsi:type="dcterms:W3CDTF">2024-08-13T12:25:00Z</dcterms:created>
  <dcterms:modified xsi:type="dcterms:W3CDTF">2024-08-13T17:02:00Z</dcterms:modified>
</cp:coreProperties>
</file>